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E1" w:rsidRPr="00AD57E1" w:rsidRDefault="00AD57E1" w:rsidP="00AD57E1">
      <w:pPr>
        <w:spacing w:after="0" w:line="555" w:lineRule="atLeast"/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</w:pP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Щодо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повноважень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органів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місцевого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у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прийнятті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рішень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(лист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Мінфіну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>від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39"/>
          <w:szCs w:val="39"/>
          <w:lang w:eastAsia="ru-RU"/>
        </w:rPr>
        <w:t xml:space="preserve"> 26.03.2018 р. № 11230-17-10/8220)</w:t>
      </w:r>
    </w:p>
    <w:p w:rsidR="00AD57E1" w:rsidRPr="00AD57E1" w:rsidRDefault="00AD57E1" w:rsidP="00AD57E1">
      <w:pPr>
        <w:spacing w:before="195" w:after="195" w:line="34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МІНІСТЕРСТВО ФІНАНСІВ УКРАЇНИ</w:t>
      </w:r>
    </w:p>
    <w:p w:rsidR="00AD57E1" w:rsidRPr="00AD57E1" w:rsidRDefault="00AD57E1" w:rsidP="00AD57E1">
      <w:pPr>
        <w:spacing w:before="195" w:after="195" w:line="34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ЛИСТ</w:t>
      </w:r>
    </w:p>
    <w:p w:rsidR="00AD57E1" w:rsidRPr="00AD57E1" w:rsidRDefault="00AD57E1" w:rsidP="00AD57E1">
      <w:pPr>
        <w:spacing w:before="195" w:after="195" w:line="34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від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26.03.2018 р. № 11230-17-10/8220</w:t>
      </w:r>
    </w:p>
    <w:p w:rsidR="00AD57E1" w:rsidRPr="00AD57E1" w:rsidRDefault="00AD57E1" w:rsidP="00AD57E1">
      <w:pPr>
        <w:spacing w:after="0" w:line="390" w:lineRule="atLeast"/>
        <w:jc w:val="center"/>
        <w:outlineLvl w:val="1"/>
        <w:rPr>
          <w:rFonts w:ascii="inherit" w:eastAsia="Times New Roman" w:hAnsi="inherit" w:cs="Arial"/>
          <w:b/>
          <w:bCs/>
          <w:color w:val="333333"/>
          <w:sz w:val="35"/>
          <w:szCs w:val="35"/>
          <w:lang w:eastAsia="ru-RU"/>
        </w:rPr>
      </w:pP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Щодо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повноважень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органів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місцевого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у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прийнятті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рішень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ru-RU"/>
        </w:rPr>
        <w:t>зборів</w:t>
      </w:r>
      <w:proofErr w:type="spellEnd"/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Міністерство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фінансів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спільно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Державною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фіскальною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службою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розглянуло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лист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повноважень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прийнятті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повідомляє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Статтею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26 Закону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визначено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виключною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компетенцією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сільських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селищних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міських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рад є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затвердження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ставок, 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прийняття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щодо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пільг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сплати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вимог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Податкового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далі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Кодекс).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пункту</w:t>
      </w:r>
      <w:proofErr w:type="gram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12.3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 Кодексу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сільські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селищні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міські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ради та ради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об'єднаних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територіальних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створені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перспективним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планом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громад, в межах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своїх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повноважень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приймають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Так,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копія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прийнятого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них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надсилається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електронному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вигляді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десятиденний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строк з дня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прийняття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контролюючого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органу,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перебувають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обліку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платники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але не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пізніше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липня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року,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передує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бюджетному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планується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встановлюваних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них.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Контролюючі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пізніше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10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липня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поточного року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складають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зведену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розмір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дату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ставок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територіях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подають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її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електронній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центральному органу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виконавчої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реалізує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податкову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митну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політику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пізніше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липня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поточного року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оприлюднює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своєму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офіційному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веб-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сайті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зведену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інформацію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розмір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дату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ставок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територіях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підпункт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12.3.3 пункту 12.3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 Кодексу).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містить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ряд норм,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передбачається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щорічне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прийняття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стосовно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Так,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 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підпунктом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12.4.3 пункту 12.4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статті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12 Кодексу до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повноважень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місцевого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належить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зокрема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</w:t>
      </w:r>
      <w:proofErr w:type="gram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початку</w:t>
      </w:r>
      <w:proofErr w:type="gram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наступного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бюджетного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прийняття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, яке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набирає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чинності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 початку бюджетного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офіційно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оприлюднюється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органом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15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липня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року,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передує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бюджетному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планується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встановлюваних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змін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плановий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).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іншому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норми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застосовуються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раніше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початку бюджетного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настає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плановим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періодом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підпункт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12.3.4 пункту 12.3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 Кодексу).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сільська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селищна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міська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рада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рада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об'єднаних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територіальних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створена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із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законом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перспективним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планом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територій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громад, не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прийняла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є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обов'язковими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нормами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цього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Кодексу,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податки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прийняття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справляються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виходячи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з норм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цього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Кодексу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із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застосуванням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їх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мінімальних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ставок, а плата за землю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справляється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із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застосуванням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ставок,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які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діяли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до 31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грудня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року,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передує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бюджетному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в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якому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планується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застосування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плати за землю (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підпункт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12.3.5 пункту 12.3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статті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12 Кодексу).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Водночас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слід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зазначити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більшості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і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Кодексом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визначена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верхня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межа ставки.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Тобто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мінімальна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ставка</w:t>
      </w: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для таких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 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дорівнює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"0"</w:t>
      </w: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Тому, </w:t>
      </w:r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 метою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уникнення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бюджетних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втрат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збалансування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показників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їх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формуванні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виконанні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також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враховуючи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кожне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набирає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чинності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початку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відповідного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бюджетного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місцевого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самоврядування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мають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щорічно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приймати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рішення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встановлення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місцевих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і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або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продовження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дії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попередніх</w:t>
      </w:r>
      <w:proofErr w:type="spellEnd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рішень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D57E1" w:rsidRPr="00AD57E1" w:rsidRDefault="00AD57E1" w:rsidP="00AD57E1">
      <w:pPr>
        <w:spacing w:before="195" w:after="195" w:line="34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 той же час,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виходячи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роз'яснень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Державної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фіскальної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служби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повноважень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якої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згідно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Положенням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про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Державну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фіскальну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службу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затвердженим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постановою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Кабінету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Міністрів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України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від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21.05.2014 р. N 236,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належить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здійснення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адміністрування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платежів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контроль за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своєчасністю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платниками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звітності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достовірністю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повнотою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нарахування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сплати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зборів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платежів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для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цілей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оподаткування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терміни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"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бюджетний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 та "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податковий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період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" є </w:t>
      </w:r>
      <w:proofErr w:type="spellStart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тотожними</w:t>
      </w:r>
      <w:proofErr w:type="spellEnd"/>
      <w:r w:rsidRPr="00AD5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D57E1" w:rsidRPr="00AD57E1" w:rsidTr="00AD57E1"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57E1" w:rsidRPr="00AD57E1" w:rsidRDefault="00AD57E1" w:rsidP="00AD57E1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о. директора Департаменту</w:t>
            </w:r>
            <w:r w:rsidRPr="00AD5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AD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</w:p>
        </w:tc>
        <w:tc>
          <w:tcPr>
            <w:tcW w:w="2500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57E1" w:rsidRPr="00AD57E1" w:rsidRDefault="00AD57E1" w:rsidP="00AD57E1">
            <w:pPr>
              <w:spacing w:before="195" w:after="195" w:line="3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Овчаренко</w:t>
            </w:r>
          </w:p>
        </w:tc>
      </w:tr>
    </w:tbl>
    <w:p w:rsidR="004A285D" w:rsidRDefault="004A285D"/>
    <w:sectPr w:rsidR="004A285D" w:rsidSect="00AD57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BCA"/>
    <w:multiLevelType w:val="multilevel"/>
    <w:tmpl w:val="023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0EC9"/>
    <w:multiLevelType w:val="multilevel"/>
    <w:tmpl w:val="D7FE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B2"/>
    <w:rsid w:val="004A285D"/>
    <w:rsid w:val="00AD57E1"/>
    <w:rsid w:val="00D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5851F-C598-47E1-B03B-A7BE57E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7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7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D57E1"/>
    <w:rPr>
      <w:color w:val="0000FF"/>
      <w:u w:val="single"/>
    </w:rPr>
  </w:style>
  <w:style w:type="character" w:customStyle="1" w:styleId="newslink-icon">
    <w:name w:val="news__link-icon"/>
    <w:basedOn w:val="a0"/>
    <w:rsid w:val="00AD57E1"/>
  </w:style>
  <w:style w:type="character" w:customStyle="1" w:styleId="news-feed--bold">
    <w:name w:val="news-feed--bold"/>
    <w:basedOn w:val="a0"/>
    <w:rsid w:val="00AD57E1"/>
  </w:style>
  <w:style w:type="paragraph" w:styleId="a4">
    <w:name w:val="Normal (Web)"/>
    <w:basedOn w:val="a"/>
    <w:uiPriority w:val="99"/>
    <w:semiHidden/>
    <w:unhideWhenUsed/>
    <w:rsid w:val="00AD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5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2018-12-05T22:56:00Z</dcterms:created>
  <dcterms:modified xsi:type="dcterms:W3CDTF">2018-12-05T22:57:00Z</dcterms:modified>
</cp:coreProperties>
</file>